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5A" w:rsidRPr="00FF5B7F" w:rsidRDefault="00FF5B7F" w:rsidP="00FF5B7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F5B7F">
        <w:rPr>
          <w:rFonts w:ascii="Times New Roman" w:hAnsi="Times New Roman" w:cs="Times New Roman"/>
          <w:b/>
          <w:sz w:val="32"/>
          <w:szCs w:val="32"/>
        </w:rPr>
        <w:t xml:space="preserve">Лекция </w:t>
      </w:r>
    </w:p>
    <w:p w:rsidR="00FF5B7F" w:rsidRPr="00FF5B7F" w:rsidRDefault="00FF5B7F" w:rsidP="00FF5B7F">
      <w:pPr>
        <w:jc w:val="both"/>
        <w:rPr>
          <w:rFonts w:ascii="Times New Roman" w:hAnsi="Times New Roman" w:cs="Times New Roman"/>
          <w:sz w:val="32"/>
          <w:szCs w:val="32"/>
        </w:rPr>
      </w:pPr>
      <w:r w:rsidRPr="00FF5B7F">
        <w:rPr>
          <w:rFonts w:ascii="Times New Roman" w:hAnsi="Times New Roman" w:cs="Times New Roman"/>
          <w:b/>
          <w:sz w:val="32"/>
          <w:szCs w:val="32"/>
        </w:rPr>
        <w:t>Государственный контроль в области антимонополистической деятельности</w:t>
      </w:r>
      <w:r w:rsidRPr="00FF5B7F">
        <w:rPr>
          <w:rFonts w:ascii="Times New Roman" w:hAnsi="Times New Roman" w:cs="Times New Roman"/>
          <w:sz w:val="32"/>
          <w:szCs w:val="32"/>
        </w:rPr>
        <w:t>.</w:t>
      </w:r>
    </w:p>
    <w:p w:rsidR="00FF5B7F" w:rsidRPr="00FF5B7F" w:rsidRDefault="00FF5B7F" w:rsidP="00FF5B7F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FF5B7F">
        <w:rPr>
          <w:rFonts w:ascii="Times New Roman" w:hAnsi="Times New Roman" w:cs="Times New Roman"/>
          <w:color w:val="333333"/>
          <w:sz w:val="32"/>
          <w:szCs w:val="32"/>
        </w:rPr>
        <w:t>А</w:t>
      </w:r>
      <w:r w:rsidRPr="00FF5B7F">
        <w:rPr>
          <w:rFonts w:ascii="Times New Roman" w:hAnsi="Times New Roman" w:cs="Times New Roman"/>
          <w:color w:val="333333"/>
          <w:sz w:val="32"/>
          <w:szCs w:val="32"/>
        </w:rPr>
        <w:t>нтимонопольный контроль осуществляется как за хозяйствующими субъектами (коммерческая, некоммерческая организация, индивидуальный предприниматель), физическими лицами, так и за федеральными органами исполнительной власти, органами государственной власти субъектов РФ, органами местного самоуправления, государственными внебюджетными фондами, ЦБ РФ</w:t>
      </w:r>
      <w:r w:rsidRPr="00FF5B7F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  <w:u w:val="single"/>
        </w:rPr>
        <w:t>Формы контроля: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- предварительный - осуществляется до совершения действий (сделок) являющихся объектом контроля (например, когда требуется предварительное согласие антимонопольного органа на осуществление определенных действий, заключение сделок; антимонопольный орган рассматривает соответствующее ходатайство заинтересованных лиц либо требуется предварительное согласие на оказание государственной или муниципальной помощи); Осуществляется посредством согласования ходатайств предпринимателей о возможности совершения сделок и действий.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В порядке предварительного контроля совершаются сделки, указанные в ст. 27,28 и 29: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Статья 27. Создание и реорганизация коммерческих организаций с предварительного согласия антимонопольного органа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Статья 28. Сделки с акциями (долями), имуществом коммерческих организаций, правами в отношении коммерческих организаций с предварительного согласия антимонопольного органа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Статья 29. Сделки с акциями (долями), активами финансовых организаций и правами в отношении финансовых организаций с предварительного согласия антимонопольного органа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lastRenderedPageBreak/>
        <w:t>- последующий - осуществляется после совершения действий (сделок) (например, когда антимонопольный орган рассматривает уведомления об уже осуществленных действиях, сделках). Осуществляется в форме подачи предпринимателями уведомлений постфактум.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Случаи согласования сделок в уведомительном порядке в рамках последующего контроля определены в ч. 2 ст. 27, ч. 2 ст. 28, ч. 2 ст. 29, ст. 30, ст. 31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Статья 27. Создание и реорганизация коммерческих организаций с предварительного согласия антимонопольного органа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Статья 28. Сделки с акциями (долями), имуществом коммерческих организаций, правами в отношении коммерческих организаций с предварительного согласия антимонопольного органа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Статья 29. Сделки с акциями (долями), активами финансовых организаций и правами в отношении финансовых организаций с предварительного согласия антимонопольного органа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Статья 30. Сделки, иные действия, об осуществлении которых должен быть уведомлен антимонопольный орган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Статья 31. Особенности государственного контроля за экономической концентрацией, осуществляемой группой лиц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 xml:space="preserve">Предварительный контроль больше ограничивает свободу предпринимателей, но распространяется на сделки и действия, наиболее опасные для конкуренции. Уведомительный порядок касается тех сделок и действий, которые также могут привести к ограничению конкуренции, но </w:t>
      </w:r>
      <w:proofErr w:type="gramStart"/>
      <w:r w:rsidRPr="00FF5B7F">
        <w:rPr>
          <w:color w:val="333333"/>
          <w:sz w:val="32"/>
          <w:szCs w:val="32"/>
        </w:rPr>
        <w:t>степень опасности</w:t>
      </w:r>
      <w:proofErr w:type="gramEnd"/>
      <w:r w:rsidRPr="00FF5B7F">
        <w:rPr>
          <w:color w:val="333333"/>
          <w:sz w:val="32"/>
          <w:szCs w:val="32"/>
        </w:rPr>
        <w:t xml:space="preserve"> которых для конкуренции меньше.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Принцип разумности (пропорциональности, эффективности) антимонопольного контроля. Институт допустимости поведения, запрещенного по общему правилу антимонопольным законодательством: цели, правовая регламентация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В соответствии с </w:t>
      </w:r>
      <w:r w:rsidRPr="00FF5B7F">
        <w:rPr>
          <w:rStyle w:val="ac"/>
          <w:color w:val="333333"/>
          <w:sz w:val="32"/>
          <w:szCs w:val="32"/>
        </w:rPr>
        <w:t>принципом эффективности</w:t>
      </w:r>
      <w:r w:rsidRPr="00FF5B7F">
        <w:rPr>
          <w:color w:val="333333"/>
          <w:sz w:val="32"/>
          <w:szCs w:val="32"/>
        </w:rPr>
        <w:t xml:space="preserve"> государственного регулирования деятельности субъектов конкуренции и монополии, </w:t>
      </w:r>
      <w:r w:rsidRPr="00FF5B7F">
        <w:rPr>
          <w:color w:val="333333"/>
          <w:sz w:val="32"/>
          <w:szCs w:val="32"/>
        </w:rPr>
        <w:lastRenderedPageBreak/>
        <w:t xml:space="preserve">как отмечает К.Ю. </w:t>
      </w:r>
      <w:proofErr w:type="spellStart"/>
      <w:r w:rsidRPr="00FF5B7F">
        <w:rPr>
          <w:color w:val="333333"/>
          <w:sz w:val="32"/>
          <w:szCs w:val="32"/>
        </w:rPr>
        <w:t>Тотьев</w:t>
      </w:r>
      <w:proofErr w:type="spellEnd"/>
      <w:r w:rsidRPr="00FF5B7F">
        <w:rPr>
          <w:color w:val="333333"/>
          <w:sz w:val="32"/>
          <w:szCs w:val="32"/>
        </w:rPr>
        <w:t xml:space="preserve">, "из общих запретов, содержащихся в конкурентном праве, предусмотрены отдельные исключения. Они обусловлены принципом разумности". В литературе, зарубежной и отечественной практике антимонопольного регулирования этот принцип еще называют коротко - принцип разумности. Смысл данного принципа состоит в том, что в некоторых случаях отдельные формы антиконкурентного поведения, которые являются недопустимыми по общему правилу в конкурентном праве, могут быть признаны правомерными в отдельных случаях, предусмотренных законом, если такие формально </w:t>
      </w:r>
      <w:proofErr w:type="spellStart"/>
      <w:r w:rsidRPr="00FF5B7F">
        <w:rPr>
          <w:color w:val="333333"/>
          <w:sz w:val="32"/>
          <w:szCs w:val="32"/>
        </w:rPr>
        <w:t>антиконкурентные</w:t>
      </w:r>
      <w:proofErr w:type="spellEnd"/>
      <w:r w:rsidRPr="00FF5B7F">
        <w:rPr>
          <w:color w:val="333333"/>
          <w:sz w:val="32"/>
          <w:szCs w:val="32"/>
        </w:rPr>
        <w:t xml:space="preserve"> действия могут </w:t>
      </w:r>
      <w:proofErr w:type="gramStart"/>
      <w:r w:rsidRPr="00FF5B7F">
        <w:rPr>
          <w:color w:val="333333"/>
          <w:sz w:val="32"/>
          <w:szCs w:val="32"/>
        </w:rPr>
        <w:t>в</w:t>
      </w:r>
      <w:proofErr w:type="gramEnd"/>
      <w:r w:rsidRPr="00FF5B7F">
        <w:rPr>
          <w:color w:val="333333"/>
          <w:sz w:val="32"/>
          <w:szCs w:val="32"/>
        </w:rPr>
        <w:t xml:space="preserve"> то же время дать существенный положительный эффект в частности, для развития экономики, удовлетворения общественных интересов. Как правило, в целях противодействия злоупотреблениям перечень случаев правовой допустимости </w:t>
      </w:r>
      <w:proofErr w:type="spellStart"/>
      <w:r w:rsidRPr="00FF5B7F">
        <w:rPr>
          <w:color w:val="333333"/>
          <w:sz w:val="32"/>
          <w:szCs w:val="32"/>
        </w:rPr>
        <w:t>антиконкурентных</w:t>
      </w:r>
      <w:proofErr w:type="spellEnd"/>
      <w:r w:rsidRPr="00FF5B7F">
        <w:rPr>
          <w:color w:val="333333"/>
          <w:sz w:val="32"/>
          <w:szCs w:val="32"/>
        </w:rPr>
        <w:t xml:space="preserve"> действий законодательно ограничен.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Антимонопольное законодательство устанавливает общие изъятия, иммунитеты и правила допустимости ограничивающих конкуренцию соглашений и согласованных действий хозяйствующих субъектов.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В целях стимулирования инновационной экономики ст. 11 устанавливает правило, что требования данной статьи не распространяются на соглашения о предоставлении и (или) об отчуждении права использования результата интеллектуальной деятельности или средства индивидуализации юридического лица, средства индивидуализации продукции, работ или услуг.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Также предоставлены иммунитеты для некоторых соглашений, совершаемых внутри группы лиц. Для определения таких иммунитетов введено понятие </w:t>
      </w:r>
      <w:r w:rsidRPr="00FF5B7F">
        <w:rPr>
          <w:rStyle w:val="ac"/>
          <w:color w:val="333333"/>
          <w:sz w:val="32"/>
          <w:szCs w:val="32"/>
        </w:rPr>
        <w:t>контроля</w:t>
      </w:r>
      <w:r w:rsidRPr="00FF5B7F">
        <w:rPr>
          <w:color w:val="333333"/>
          <w:sz w:val="32"/>
          <w:szCs w:val="32"/>
        </w:rPr>
        <w:t xml:space="preserve">. Запреты ст. 11 не распространяются на соглашения между хозяйствующими субъектами, входящими в одну группу лиц,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лица, за исключением соглашений между хозяйствующими субъектами, осуществляющими виды деятельности, одновременное выполнение </w:t>
      </w:r>
      <w:r w:rsidRPr="00FF5B7F">
        <w:rPr>
          <w:color w:val="333333"/>
          <w:sz w:val="32"/>
          <w:szCs w:val="32"/>
        </w:rPr>
        <w:lastRenderedPageBreak/>
        <w:t>которых одним хозяйствующим субъектом не допускается в соответствии с законодательством Российской Федерации.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Под контролем в настоящей статье, а также в статьях 11.1 и 32 Закона о конкуренции понимается возможность физического или юридического лица прямо или косвенно (через юридическое лицо или через несколько юридических лиц) определять решения, принимаемые другим юридическим лицом, посредством одного или нескольких следующих действий: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1) распоряжение более чем пятьюдесятью процентами общего количества голосов, приходящихся на голосующие акции (доли), составляющие уставный (складочный) капитал юридического лица;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2) осуществление функций исполнительного органа юридического лица.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Аналогичным образом запреты ст. 11.1 не распространяются на согласованные действия хозяйствующих субъектов, входящих в одну группу лиц,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 (например, см. Постановление Восемнадцатого арбитражного апелляционного суда от 04.06.2013 N 18АП-4404/2013 по делу N А76-23611/2012 о признании недействительными торгов по продаже имущества).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Также для согласованных соглашений установлено специальный иммунитет, которого нет среди соглашений - разрешение на согласованные действия, если совокупная доля участников на товарном рынке не превышает двадцать процентов и при этом доля каждого из которых на товарном рынке не превышает восемь процентов.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Данные нормы направлены на сокращение контроля за поведением хозяйствующих субъектов, которое не может повлиять на конкуренцию на рынке.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 xml:space="preserve">К иммунитетам можно отнести также указание определения вертикального соглашения, данного в п. 19 ст. 4 о том, что не </w:t>
      </w:r>
      <w:r w:rsidRPr="00FF5B7F">
        <w:rPr>
          <w:color w:val="333333"/>
          <w:sz w:val="32"/>
          <w:szCs w:val="32"/>
        </w:rPr>
        <w:lastRenderedPageBreak/>
        <w:t>является "вертикальным" соглашением агентский договор. Правда, это формально не исключает возможности рассматривать данный договор с точки зрения иных запретов Закона о конкуренции.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 xml:space="preserve">Помимо изъятий и иммунитетов из общего объема запретов, антимонопольное законодательство устанавливает также правила и механизмы допустимости запрещены по общему правилу соглашений и согласованных действий. Так </w:t>
      </w:r>
      <w:proofErr w:type="gramStart"/>
      <w:r w:rsidRPr="00FF5B7F">
        <w:rPr>
          <w:color w:val="333333"/>
          <w:sz w:val="32"/>
          <w:szCs w:val="32"/>
        </w:rPr>
        <w:t>же</w:t>
      </w:r>
      <w:proofErr w:type="gramEnd"/>
      <w:r w:rsidRPr="00FF5B7F">
        <w:rPr>
          <w:color w:val="333333"/>
          <w:sz w:val="32"/>
          <w:szCs w:val="32"/>
        </w:rPr>
        <w:t xml:space="preserve"> как и в случае допустимости злоупотреблений доминирующим положением хозяйствующих субъектов, запрещенных по общему правилу Законом о защите конкуренции, допустимость соглашений и согласованных действий устанавливается и регламентируется несколькими правовыми способами. Во-первых, соглашения и согласованные действия хозяйствующих субъектов допускаются по основаниям, предусмотренным ст. 13, т.е. по тем же основаниям допустимости, что и в отношении действий (бездействия) лиц, занимающих доминирующее положение, и сделок и действий, подлежащих контролю экономической концентрации.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Во-вторых, отдельные виды запрещенных соглашений и согласованных действий хозяйствующих субъектов могут допускаться на основании специальных правовых актов органов власти. Этот способ допустимости также аналогичен применяемому в отношении действий (бездействия) хозяйствующих субъектов, занимающих доминирующее положение. Применительно к запрещенным соглашениям и согласованным действиям отдельные виды таких соглашений и действий могут допускаться федеральными законами, нормативными правовыми актами Президента Российской Федерации, Правительства Российской Федерации, уполномоченных федеральных органов исполнительной власти или судебными актами, очевидно, в интересах общественного блага.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Наконец, в-третьих, еще одна группа случаев допустимости соглашений хозяйствующих субъектов вводится и регламентируется исключительно в отношении вертикальных соглашений хозяйствующих субъектов. Эти случаи и критерии допустимости определены в ст. 12 Закона о защите конкуренции. Рассмотрим по порядку все три группы случаев допустимости соглашений и согласованных действий хозяйствующих субъектов: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lastRenderedPageBreak/>
        <w:t>1) по ст. 13 (общие случаи допустимости);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2) по ст. 11 - допустимость отдельных видов соглашений и согласованных действий на основании федеральных законов или специальных правовых актов уполномоченных органов власти;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  <w:r w:rsidRPr="00FF5B7F">
        <w:rPr>
          <w:color w:val="333333"/>
          <w:sz w:val="32"/>
          <w:szCs w:val="32"/>
        </w:rPr>
        <w:t>3) по ст. 12 Закона о защите конкуренции (случаи допустимости вертикальных соглашений).</w:t>
      </w:r>
    </w:p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</w:p>
    <w:p w:rsidR="00FF5B7F" w:rsidRPr="00C20A95" w:rsidRDefault="00FF5B7F" w:rsidP="00FF5B7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20A95">
        <w:rPr>
          <w:rFonts w:ascii="Times New Roman" w:hAnsi="Times New Roman" w:cs="Times New Roman"/>
          <w:b/>
          <w:sz w:val="32"/>
          <w:szCs w:val="32"/>
        </w:rPr>
        <w:t>Практическое задание</w:t>
      </w:r>
      <w:r w:rsidR="00C20A95" w:rsidRPr="00C20A95">
        <w:rPr>
          <w:rFonts w:ascii="Times New Roman" w:hAnsi="Times New Roman" w:cs="Times New Roman"/>
          <w:b/>
          <w:sz w:val="32"/>
          <w:szCs w:val="32"/>
        </w:rPr>
        <w:t xml:space="preserve"> направить на электронную почту в срок до 12.11.2012 21.00</w:t>
      </w:r>
      <w:bookmarkStart w:id="0" w:name="_GoBack"/>
      <w:bookmarkEnd w:id="0"/>
    </w:p>
    <w:p w:rsidR="008D5F68" w:rsidRPr="008D5F68" w:rsidRDefault="008D5F68" w:rsidP="008D5F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</w:t>
      </w:r>
    </w:p>
    <w:p w:rsidR="008D5F68" w:rsidRPr="008D5F68" w:rsidRDefault="008D5F68" w:rsidP="008D5F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 1</w:t>
      </w:r>
    </w:p>
    <w:p w:rsidR="008D5F68" w:rsidRPr="008D5F68" w:rsidRDefault="008D5F68" w:rsidP="008D5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ЗАО «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Алевар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» обратилось в арбитражный суд с заявлением о признании ЗАО «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Елинский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пивокомбинат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» несостоятельным (банкротом).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Из материалов дела видно, что в качестве доказательств наличия задолженности комбината перед ЗАО «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Алевар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» представлен заявителем акт от 1 ноября 2004 г., в котором отражены результаты выверки взаимных расчетов, в том числе указано, что сальдо по арендной плате в пользу ЗАО «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Алевар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» составляет 1 807 624 руб. В текст акта от руки внесена запись: «Сальдо по арендной плате подтверждаем». Доказательств, объясняющих, кем и когда внесено это дополнение в акт, в деле не имеется.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Комбинат отрицает сам факт наличия задолженности и признание им долга. В представленном комбинатом экземпляре акта от 01.11.04 отсутствует запись о признании требований кредитора.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Возбужденное следственным отделом УВД уголовное дело по признакам преступления, предусмотренного ч. 3 ст. 327 Уголовного кодекса РФ (использование заведомо подложного документа), по факту представления в арбитражный суд генеральным директором ЗАО «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Алевар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акта выверки взаимных расчетов с комбинатом с исправлениями в тексте прекращено на основании того, что акт выверки взаимных расчетов между коммерческими предприятиями не является официальным документом и ответственность за 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допущенные в нем подчистки и исправления уголовным законодательством не предусмотрена.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</w:t>
      </w:r>
      <w:r w:rsidRPr="008D5F6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Есть ли основания для возбуждения процедуры банкротства? Какое решение должен принять арбитражный суд?</w:t>
      </w:r>
    </w:p>
    <w:p w:rsidR="008D5F68" w:rsidRPr="008D5F68" w:rsidRDefault="008D5F68" w:rsidP="008D5F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 2</w:t>
      </w:r>
    </w:p>
    <w:p w:rsidR="008D5F68" w:rsidRPr="008D5F68" w:rsidRDefault="008D5F68" w:rsidP="008D5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ЗАО «Биосинтез» обратилось в арбитражный суд с заявлением о признании банкротом рыболовецкого колхоза «Страж Балтики». Арбитражный суд отказался принять заявление о возбуждении производства по делу о несостоятельности должника на том основании, что имеется вступившее в законную силу решение арбитражного суда по имущественному спору между теми же сторонами, не исполненное из-за отсутствия денежных средств на счете должника, и рекомендовал кредитору в установленном порядке ходатайствовать об обращении взыскания на имущество должника. Сумма задолженности рыболовецкого колхоза за поставленную продукцию составила 96 тыс. руб., а штраф за несвоевременную оплату – 23 тыс. руб. Срок неисполнения долговых обязательств уже превысил шесть месяцев.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</w:t>
      </w:r>
      <w:r w:rsidRPr="008D5F6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Дайте юридический анализ позиции арбитражного суда.</w:t>
      </w:r>
    </w:p>
    <w:p w:rsidR="008D5F68" w:rsidRPr="008D5F68" w:rsidRDefault="008D5F68" w:rsidP="008D5F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 3</w:t>
      </w:r>
    </w:p>
    <w:p w:rsidR="008D5F68" w:rsidRPr="008D5F68" w:rsidRDefault="008D5F68" w:rsidP="008D5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Председатель ликвидационной комиссии общества с ограниченной ответственностью «Фаэтон» обратился в арбитражный суд с заявлением о признании ООО «Фаэтон» несостоятельным (банкротом) как ликвидируемого должника.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Определением арбитражного суда от 22.05.03 заявление оставлено без движения. Должнику предложено представить доказательства того, что процедуры банкротства обеспечены финансированием, а также документы, свидетельствующие о соблюдении порядка ликвидации юридических лиц, установленного ст. 62 и 63 Гражданского кодекса РФ.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Определением суда от 23.06.03 заявление о признании ООО «Фаэтон» несостоятельным (банкротом) возвращено заявителю, поскольку истребованные документы не были представлены.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</w:t>
      </w:r>
      <w:r w:rsidRPr="008D5F6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Правомерны ли определения суда? Дайте юридическую оценку.</w:t>
      </w:r>
    </w:p>
    <w:p w:rsidR="00FF5B7F" w:rsidRPr="008D5F68" w:rsidRDefault="00FF5B7F" w:rsidP="008D5F6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F5B7F" w:rsidRPr="008D5F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98" w:rsidRDefault="006F0398" w:rsidP="006F0398">
      <w:pPr>
        <w:spacing w:after="0" w:line="240" w:lineRule="auto"/>
      </w:pPr>
      <w:r>
        <w:separator/>
      </w:r>
    </w:p>
  </w:endnote>
  <w:endnote w:type="continuationSeparator" w:id="0">
    <w:p w:rsidR="006F0398" w:rsidRDefault="006F0398" w:rsidP="006F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98" w:rsidRDefault="006F0398" w:rsidP="006F0398">
      <w:pPr>
        <w:spacing w:after="0" w:line="240" w:lineRule="auto"/>
      </w:pPr>
      <w:r>
        <w:separator/>
      </w:r>
    </w:p>
  </w:footnote>
  <w:footnote w:type="continuationSeparator" w:id="0">
    <w:p w:rsidR="006F0398" w:rsidRDefault="006F0398" w:rsidP="006F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452414"/>
      <w:docPartObj>
        <w:docPartGallery w:val="Page Numbers (Top of Page)"/>
        <w:docPartUnique/>
      </w:docPartObj>
    </w:sdtPr>
    <w:sdtEndPr/>
    <w:sdtContent>
      <w:p w:rsidR="006F0398" w:rsidRDefault="006F03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A95">
          <w:rPr>
            <w:noProof/>
          </w:rPr>
          <w:t>6</w:t>
        </w:r>
        <w:r>
          <w:fldChar w:fldCharType="end"/>
        </w:r>
      </w:p>
    </w:sdtContent>
  </w:sdt>
  <w:p w:rsidR="006F0398" w:rsidRDefault="006F0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4097A"/>
    <w:multiLevelType w:val="hybridMultilevel"/>
    <w:tmpl w:val="AFFE5762"/>
    <w:lvl w:ilvl="0" w:tplc="F9782A1A">
      <w:start w:val="1"/>
      <w:numFmt w:val="decimal"/>
      <w:lvlText w:val="%1)"/>
      <w:lvlJc w:val="left"/>
      <w:pPr>
        <w:ind w:left="930" w:hanging="57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539F0"/>
    <w:multiLevelType w:val="multilevel"/>
    <w:tmpl w:val="E2C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50"/>
    <w:rsid w:val="000648A6"/>
    <w:rsid w:val="000E71FD"/>
    <w:rsid w:val="002C0A23"/>
    <w:rsid w:val="003D7A7E"/>
    <w:rsid w:val="003F265A"/>
    <w:rsid w:val="004F29C2"/>
    <w:rsid w:val="0050380B"/>
    <w:rsid w:val="0063463D"/>
    <w:rsid w:val="006D3D4B"/>
    <w:rsid w:val="006F0398"/>
    <w:rsid w:val="008A32E6"/>
    <w:rsid w:val="008D5F68"/>
    <w:rsid w:val="009F3F89"/>
    <w:rsid w:val="00C20A95"/>
    <w:rsid w:val="00CD6612"/>
    <w:rsid w:val="00E01150"/>
    <w:rsid w:val="00F542AB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0F61-B5C8-4E4C-A506-12A33AF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398"/>
  </w:style>
  <w:style w:type="paragraph" w:styleId="a7">
    <w:name w:val="footer"/>
    <w:basedOn w:val="a"/>
    <w:link w:val="a8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398"/>
  </w:style>
  <w:style w:type="paragraph" w:styleId="a9">
    <w:name w:val="List Paragraph"/>
    <w:basedOn w:val="a"/>
    <w:uiPriority w:val="34"/>
    <w:qFormat/>
    <w:rsid w:val="005038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380B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F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F5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4</cp:revision>
  <cp:lastPrinted>2019-04-03T07:16:00Z</cp:lastPrinted>
  <dcterms:created xsi:type="dcterms:W3CDTF">2020-11-07T11:23:00Z</dcterms:created>
  <dcterms:modified xsi:type="dcterms:W3CDTF">2020-11-07T11:37:00Z</dcterms:modified>
</cp:coreProperties>
</file>